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ind w:left="0" w:right="8165" w:firstLine="0"/>
        <w:jc w:val="left"/>
        <w:rPr>
          <w:rFonts w:eastAsia="Times New Roman" w:cs="Calibri"/>
          <w:sz w:val="24"/>
          <w:szCs w:val="24"/>
          <w:lang w:eastAsia="fr-FR"/>
        </w:rPr>
      </w:pPr>
      <w:r>
        <w:rPr>
          <w:rFonts w:eastAsia="Times New Roman" w:cs="Calibri"/>
          <w:noProof/>
          <w:sz w:val="24"/>
          <w:szCs w:val="24"/>
          <w:lang w:eastAsia="fr-BE"/>
        </w:rPr>
        <w:drawing>
          <wp:inline distT="0" distB="0" distL="0" distR="0">
            <wp:extent cx="1423035" cy="723265"/>
            <wp:effectExtent l="0" t="0" r="5715" b="635"/>
            <wp:docPr id="2" name="Image 1" descr="Coq pau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oq paulu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3035" cy="723265"/>
                    </a:xfrm>
                    <a:prstGeom prst="rect">
                      <a:avLst/>
                    </a:prstGeom>
                    <a:noFill/>
                    <a:ln>
                      <a:noFill/>
                    </a:ln>
                  </pic:spPr>
                </pic:pic>
              </a:graphicData>
            </a:graphic>
          </wp:inline>
        </w:drawing>
      </w:r>
    </w:p>
    <w:p>
      <w:pPr>
        <w:spacing w:after="0"/>
        <w:ind w:left="0" w:right="8165" w:firstLine="0"/>
        <w:jc w:val="left"/>
        <w:rPr>
          <w:rFonts w:eastAsia="Times New Roman" w:cs="Calibri"/>
          <w:lang w:eastAsia="fr-FR"/>
        </w:rPr>
      </w:pPr>
    </w:p>
    <w:p>
      <w:pPr>
        <w:pBdr>
          <w:top w:val="single" w:sz="8" w:space="1" w:color="auto"/>
          <w:left w:val="single" w:sz="8" w:space="4" w:color="auto"/>
          <w:bottom w:val="single" w:sz="8" w:space="1" w:color="auto"/>
          <w:right w:val="single" w:sz="8" w:space="12" w:color="auto"/>
        </w:pBdr>
        <w:shd w:val="clear" w:color="auto" w:fill="FFFFFF"/>
        <w:ind w:left="0" w:right="221" w:firstLine="0"/>
        <w:jc w:val="center"/>
        <w:rPr>
          <w:rFonts w:eastAsia="Times New Roman" w:cs="Calibri"/>
          <w:b/>
          <w:smallCaps/>
          <w:lang w:eastAsia="fr-FR"/>
        </w:rPr>
      </w:pPr>
      <w:r>
        <w:rPr>
          <w:rFonts w:eastAsia="Times New Roman" w:cs="Calibri"/>
          <w:b/>
          <w:bCs/>
          <w:smallCaps/>
          <w:lang w:eastAsia="fr-FR"/>
        </w:rPr>
        <w:t>CONVENTION BILATERALE GENERALE DE COLLABORATION ENTRE LES CENTRES DE TECHNOLOGIES AVANCEES ET LES OPERATEURS DE FORMATION CONTINUE DES ENSEIGNANTS</w:t>
      </w:r>
    </w:p>
    <w:p>
      <w:pPr>
        <w:shd w:val="clear" w:color="auto" w:fill="FFFFFF"/>
        <w:ind w:left="0" w:firstLine="0"/>
        <w:jc w:val="left"/>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lang w:eastAsia="fr-FR"/>
        </w:rPr>
        <w:t>La présente convention est conclue entre :</w:t>
      </w:r>
    </w:p>
    <w:p>
      <w:pPr>
        <w:shd w:val="clear" w:color="auto" w:fill="FFFFFF"/>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r>
        <w:rPr>
          <w:rFonts w:eastAsia="Times New Roman" w:cs="Calibri"/>
          <w:lang w:eastAsia="fr-FR"/>
        </w:rPr>
        <w:t>[Le Pouvoir organisateur de l’établissement où est établi le CTA]</w:t>
      </w:r>
      <w:r>
        <w:rPr>
          <w:rFonts w:eastAsia="Times New Roman" w:cs="Calibri"/>
          <w:vertAlign w:val="superscript"/>
          <w:lang w:eastAsia="fr-FR"/>
        </w:rPr>
        <w:footnoteReference w:id="1"/>
      </w:r>
      <w:r>
        <w:rPr>
          <w:rFonts w:eastAsia="Times New Roman" w:cs="Calibri"/>
          <w:lang w:eastAsia="fr-FR"/>
        </w:rPr>
        <w:t>:</w:t>
      </w: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2"/>
      </w:r>
      <w:r>
        <w:rPr>
          <w:rFonts w:eastAsia="Times New Roman" w:cs="Calibri"/>
          <w:lang w:eastAsia="fr-FR"/>
        </w:rPr>
        <w:t> :</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ind w:left="0" w:firstLine="0"/>
        <w:jc w:val="left"/>
        <w:rPr>
          <w:rFonts w:eastAsia="Times New Roman" w:cs="Calibri"/>
          <w:lang w:eastAsia="fr-FR"/>
        </w:rPr>
      </w:pPr>
      <w:r>
        <w:rPr>
          <w:rFonts w:eastAsia="Times New Roman" w:cs="Calibri"/>
          <w:lang w:eastAsia="fr-FR"/>
        </w:rPr>
        <w:t>Et :</w:t>
      </w:r>
    </w:p>
    <w:p>
      <w:pPr>
        <w:pBdr>
          <w:top w:val="single" w:sz="4" w:space="1" w:color="auto"/>
          <w:left w:val="single" w:sz="4" w:space="0" w:color="auto"/>
          <w:bottom w:val="single" w:sz="4" w:space="1" w:color="auto"/>
          <w:right w:val="single" w:sz="4" w:space="4" w:color="auto"/>
        </w:pBdr>
        <w:spacing w:line="360" w:lineRule="auto"/>
        <w:ind w:left="0" w:firstLine="0"/>
        <w:jc w:val="center"/>
        <w:rPr>
          <w:rFonts w:eastAsia="Times New Roman" w:cs="Calibri"/>
          <w:lang w:eastAsia="fr-FR"/>
        </w:rPr>
      </w:pPr>
      <w:r>
        <w:rPr>
          <w:rFonts w:eastAsia="Times New Roman" w:cs="Calibri"/>
          <w:lang w:eastAsia="fr-FR"/>
        </w:rPr>
        <w:t>L’opérateur-utilisateur :</w:t>
      </w:r>
    </w:p>
    <w:p>
      <w:pPr>
        <w:pBdr>
          <w:top w:val="single" w:sz="4" w:space="1" w:color="auto"/>
          <w:left w:val="single" w:sz="4" w:space="0" w:color="auto"/>
          <w:bottom w:val="single" w:sz="4" w:space="1" w:color="auto"/>
          <w:right w:val="single" w:sz="4" w:space="4" w:color="auto"/>
        </w:pBdr>
        <w:spacing w:line="360" w:lineRule="auto"/>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spacing w:line="360" w:lineRule="auto"/>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spacing w:line="360" w:lineRule="auto"/>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spacing w:line="360" w:lineRule="auto"/>
        <w:ind w:left="0" w:firstLine="0"/>
        <w:jc w:val="center"/>
        <w:rPr>
          <w:rFonts w:eastAsia="Times New Roman" w:cs="Calibri"/>
          <w:lang w:eastAsia="fr-FR"/>
        </w:rPr>
      </w:pPr>
      <w:r>
        <w:rPr>
          <w:rFonts w:eastAsia="Times New Roman" w:cs="Calibri"/>
          <w:lang w:eastAsia="fr-FR"/>
        </w:rPr>
        <w:t>Représenté par :</w:t>
      </w: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shd w:val="clear" w:color="auto" w:fill="FFFFFF"/>
        <w:ind w:left="0" w:firstLine="0"/>
        <w:rPr>
          <w:rFonts w:eastAsia="Times New Roman" w:cs="Calibri"/>
          <w:lang w:eastAsia="fr-FR"/>
        </w:rPr>
      </w:pPr>
      <w:r>
        <w:rPr>
          <w:rFonts w:eastAsia="Times New Roman" w:cs="Calibri"/>
          <w:b/>
          <w:bCs/>
          <w:lang w:eastAsia="fr-FR"/>
        </w:rPr>
        <w:br w:type="page"/>
      </w:r>
      <w:r>
        <w:rPr>
          <w:rFonts w:eastAsia="Times New Roman" w:cs="Calibri"/>
          <w:b/>
          <w:bCs/>
          <w:lang w:eastAsia="fr-FR"/>
        </w:rPr>
        <w:lastRenderedPageBreak/>
        <w:t>Article 1 : Cadre légal</w:t>
      </w:r>
    </w:p>
    <w:p>
      <w:pPr>
        <w:shd w:val="clear" w:color="auto" w:fill="FFFFFF"/>
        <w:ind w:left="0" w:firstLine="0"/>
        <w:rPr>
          <w:rFonts w:eastAsia="Times New Roman" w:cs="Calibri"/>
          <w:lang w:eastAsia="fr-FR"/>
        </w:rPr>
      </w:pPr>
      <w:r>
        <w:rPr>
          <w:rFonts w:eastAsia="Times New Roman" w:cs="Calibri"/>
          <w:lang w:eastAsia="fr-FR"/>
        </w:rPr>
        <w:t>La présente convention est conclue en application de l’article 6 du décret du 11 avril 2014 garantissant l’équipement pédagogique de l’enseignement qualifiant et fixant l’organisation des Centres de Technologies Avancées.</w:t>
      </w:r>
    </w:p>
    <w:p>
      <w:pPr>
        <w:shd w:val="clear" w:color="auto" w:fill="FFFFFF"/>
        <w:ind w:left="0" w:firstLine="0"/>
        <w:outlineLvl w:val="0"/>
        <w:rPr>
          <w:rFonts w:eastAsia="Times New Roman" w:cs="Calibri"/>
          <w:b/>
          <w:lang w:eastAsia="fr-FR"/>
        </w:rPr>
      </w:pPr>
      <w:r>
        <w:rPr>
          <w:rFonts w:eastAsia="Times New Roman" w:cs="Calibri"/>
          <w:b/>
          <w:bCs/>
          <w:lang w:eastAsia="fr-FR"/>
        </w:rPr>
        <w:t>Article 2 : Champ d’application</w:t>
      </w:r>
    </w:p>
    <w:p>
      <w:pPr>
        <w:shd w:val="clear" w:color="auto" w:fill="FFFFFF"/>
        <w:ind w:left="0" w:firstLine="0"/>
        <w:outlineLvl w:val="0"/>
        <w:rPr>
          <w:rFonts w:eastAsia="Times New Roman" w:cs="Calibri"/>
          <w:lang w:eastAsia="fr-FR"/>
        </w:rPr>
      </w:pPr>
      <w:r>
        <w:rPr>
          <w:rFonts w:eastAsia="Times New Roman" w:cs="Calibri"/>
          <w:lang w:eastAsia="fr-FR"/>
        </w:rPr>
        <w:t>Cette convention s’applique aux collaborations entre les Centres de Technologies Avancées et les opérateurs-utilisateurs de formation continuée des enseignants.</w:t>
      </w:r>
    </w:p>
    <w:p>
      <w:pPr>
        <w:shd w:val="clear" w:color="auto" w:fill="FFFFFF"/>
        <w:ind w:left="0" w:firstLine="0"/>
        <w:outlineLvl w:val="0"/>
        <w:rPr>
          <w:rFonts w:eastAsia="Times New Roman" w:cs="Calibri"/>
          <w:b/>
          <w:lang w:eastAsia="fr-FR"/>
        </w:rPr>
      </w:pPr>
      <w:r>
        <w:rPr>
          <w:rFonts w:eastAsia="Times New Roman" w:cs="Calibri"/>
          <w:b/>
          <w:bCs/>
          <w:lang w:eastAsia="fr-FR"/>
        </w:rPr>
        <w:t>Article 3 : Définitions</w:t>
      </w:r>
    </w:p>
    <w:p>
      <w:pPr>
        <w:shd w:val="clear" w:color="auto" w:fill="FFFFFF"/>
        <w:tabs>
          <w:tab w:val="left" w:pos="-3686"/>
        </w:tabs>
        <w:ind w:left="0" w:right="14" w:firstLine="0"/>
        <w:rPr>
          <w:rFonts w:eastAsia="Times New Roman" w:cs="Calibri"/>
          <w:lang w:eastAsia="fr-FR"/>
        </w:rPr>
      </w:pPr>
      <w:r>
        <w:rPr>
          <w:rFonts w:eastAsia="Times New Roman" w:cs="Calibri"/>
          <w:lang w:eastAsia="fr-FR"/>
        </w:rPr>
        <w:t>Pour l’application de la présente convention, il y a lieu d’entendre par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Centre de technologies avancées » (en abrégé « CTA »)</w:t>
      </w:r>
      <w:r>
        <w:rPr>
          <w:rFonts w:eastAsia="Times New Roman" w:cs="Calibri"/>
          <w:lang w:eastAsia="fr-FR"/>
        </w:rPr>
        <w:t> : infrastructure mettant des équipements de pointe à disposition des élèves et des enseignants, quels que soient le réseau et le caractère d'enseignement, ainsi que des apprentis, des demandeurs d'emploi et des travailleurs, en vue de développer des formations qualifiantes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Opérateur-utilisateur »</w:t>
      </w:r>
      <w:r>
        <w:rPr>
          <w:rFonts w:eastAsia="Times New Roman" w:cs="Calibri"/>
          <w:lang w:eastAsia="fr-FR"/>
        </w:rPr>
        <w:t> : les opérateurs de formation continue des enseignants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Stagiaires »</w:t>
      </w:r>
      <w:r>
        <w:rPr>
          <w:rFonts w:eastAsia="Times New Roman" w:cs="Calibri"/>
          <w:lang w:eastAsia="fr-FR"/>
        </w:rPr>
        <w:t> : les enseignants des établissements d’enseignement obligatoire (3</w:t>
      </w:r>
      <w:r>
        <w:rPr>
          <w:rFonts w:eastAsia="Times New Roman" w:cs="Calibri"/>
          <w:vertAlign w:val="superscript"/>
          <w:lang w:eastAsia="fr-FR"/>
        </w:rPr>
        <w:t>e</w:t>
      </w:r>
      <w:r>
        <w:rPr>
          <w:rFonts w:eastAsia="Times New Roman" w:cs="Calibri"/>
          <w:lang w:eastAsia="fr-FR"/>
        </w:rPr>
        <w:t xml:space="preserve"> et 4</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ordinaire, de plein exercice ou en alternance ; 3</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spécialisé de forme 4, de plein exercice et en alternance ; 3</w:t>
      </w:r>
      <w:r>
        <w:rPr>
          <w:rFonts w:eastAsia="Times New Roman" w:cs="Calibri"/>
          <w:vertAlign w:val="superscript"/>
          <w:lang w:eastAsia="fr-FR"/>
        </w:rPr>
        <w:t>e</w:t>
      </w:r>
      <w:r>
        <w:rPr>
          <w:rFonts w:eastAsia="Times New Roman" w:cs="Calibri"/>
          <w:lang w:eastAsia="fr-FR"/>
        </w:rPr>
        <w:t xml:space="preserve"> phase de l’enseignement secondaire spécialisé de forme 3, de plein exercice et en alternance ; 3</w:t>
      </w:r>
      <w:r>
        <w:rPr>
          <w:rFonts w:eastAsia="Times New Roman" w:cs="Calibri"/>
          <w:vertAlign w:val="superscript"/>
          <w:lang w:eastAsia="fr-FR"/>
        </w:rPr>
        <w:t>e</w:t>
      </w:r>
      <w:r>
        <w:rPr>
          <w:rFonts w:eastAsia="Times New Roman" w:cs="Calibri"/>
          <w:lang w:eastAsia="fr-FR"/>
        </w:rPr>
        <w:t xml:space="preserve"> degré de l’enseignement technique de la section transition de l’enseignement secondaire ordinaire), d'enseignement de promotion sociale et d'enseignement supérieur ;</w:t>
      </w:r>
    </w:p>
    <w:p>
      <w:pPr>
        <w:numPr>
          <w:ilvl w:val="0"/>
          <w:numId w:val="2"/>
        </w:numPr>
        <w:shd w:val="clear" w:color="auto" w:fill="FFFFFF"/>
        <w:spacing w:after="0"/>
        <w:ind w:left="426"/>
        <w:jc w:val="left"/>
        <w:rPr>
          <w:rFonts w:eastAsia="Times New Roman" w:cs="Calibri"/>
          <w:lang w:eastAsia="fr-FR"/>
        </w:rPr>
      </w:pPr>
      <w:r>
        <w:rPr>
          <w:rFonts w:eastAsia="Times New Roman" w:cs="Calibri"/>
          <w:u w:val="single"/>
          <w:lang w:eastAsia="fr-FR"/>
        </w:rPr>
        <w:t>« Formateurs »</w:t>
      </w:r>
      <w:r>
        <w:rPr>
          <w:rFonts w:eastAsia="Times New Roman" w:cs="Calibri"/>
          <w:lang w:eastAsia="fr-FR"/>
        </w:rPr>
        <w:t> : formateurs désignés par l’opérateur-utilisateur.</w:t>
      </w:r>
    </w:p>
    <w:p>
      <w:pPr>
        <w:numPr>
          <w:ilvl w:val="0"/>
          <w:numId w:val="2"/>
        </w:numPr>
        <w:shd w:val="clear" w:color="auto" w:fill="FFFFFF"/>
        <w:spacing w:after="0"/>
        <w:ind w:left="426"/>
        <w:jc w:val="left"/>
        <w:rPr>
          <w:rFonts w:eastAsia="Times New Roman" w:cs="Calibri"/>
          <w:u w:val="single"/>
          <w:lang w:eastAsia="fr-FR"/>
        </w:rPr>
      </w:pPr>
      <w:r>
        <w:rPr>
          <w:rFonts w:eastAsia="Times New Roman" w:cs="Calibri"/>
          <w:u w:val="single"/>
          <w:lang w:eastAsia="fr-FR"/>
        </w:rPr>
        <w:t>« Formation en présentiel »</w:t>
      </w:r>
      <w:r>
        <w:rPr>
          <w:rFonts w:eastAsia="Times New Roman" w:cs="Calibri"/>
          <w:lang w:eastAsia="fr-FR"/>
        </w:rPr>
        <w:t> : formation se déroulant au sein des locaux du CTA</w:t>
      </w:r>
    </w:p>
    <w:p>
      <w:pPr>
        <w:numPr>
          <w:ilvl w:val="0"/>
          <w:numId w:val="2"/>
        </w:numPr>
        <w:shd w:val="clear" w:color="auto" w:fill="FFFFFF"/>
        <w:spacing w:after="0"/>
        <w:ind w:left="426"/>
        <w:jc w:val="left"/>
        <w:rPr>
          <w:rFonts w:eastAsia="Times New Roman" w:cs="Calibri"/>
          <w:u w:val="single"/>
          <w:lang w:eastAsia="fr-FR"/>
        </w:rPr>
      </w:pPr>
      <w:r>
        <w:rPr>
          <w:rFonts w:eastAsia="Times New Roman" w:cs="Calibri"/>
          <w:u w:val="single"/>
          <w:lang w:eastAsia="fr-FR"/>
        </w:rPr>
        <w:t>« Formation à distance »</w:t>
      </w:r>
      <w:r>
        <w:rPr>
          <w:rFonts w:eastAsia="Times New Roman" w:cs="Calibri"/>
          <w:lang w:eastAsia="fr-FR"/>
        </w:rPr>
        <w:t> : on entend par « formation à distance » :</w:t>
      </w:r>
    </w:p>
    <w:p>
      <w:pPr>
        <w:numPr>
          <w:ilvl w:val="0"/>
          <w:numId w:val="6"/>
        </w:numPr>
        <w:spacing w:after="0"/>
        <w:jc w:val="left"/>
        <w:rPr>
          <w:rFonts w:eastAsia="Times New Roman" w:cs="Calibri"/>
          <w:lang w:eastAsia="fr-FR"/>
        </w:rPr>
      </w:pPr>
      <w:r>
        <w:rPr>
          <w:rFonts w:eastAsia="Times New Roman" w:cs="Calibri"/>
          <w:lang w:eastAsia="fr-FR"/>
        </w:rPr>
        <w:t xml:space="preserve">Soit une formation où les apprenants se connectent sur une plateforme et suivent un module de formation créé par le CTA. </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se connectent à la plateforme pour suivre un module, mais en plus, bénéficient de l’aide d’un formateur pour un moment de question/réponse</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bénéficient de cours en ligne dispensés via des plateformes de réunion.</w:t>
      </w:r>
    </w:p>
    <w:p>
      <w:pPr>
        <w:shd w:val="clear" w:color="auto" w:fill="FFFFFF"/>
        <w:ind w:left="0" w:firstLine="0"/>
        <w:outlineLvl w:val="0"/>
        <w:rPr>
          <w:rFonts w:eastAsia="Times New Roman" w:cs="Calibri"/>
          <w:b/>
          <w:bCs/>
          <w:lang w:eastAsia="fr-FR"/>
        </w:rPr>
      </w:pPr>
      <w:r>
        <w:rPr>
          <w:rFonts w:eastAsia="Times New Roman" w:cs="Calibri"/>
          <w:b/>
          <w:bCs/>
          <w:lang w:eastAsia="fr-FR"/>
        </w:rPr>
        <w:t>Article 4 : Engagements généraux des partenaires</w:t>
      </w:r>
    </w:p>
    <w:p>
      <w:pPr>
        <w:shd w:val="clear" w:color="auto" w:fill="FFFFFF"/>
        <w:ind w:left="0" w:firstLine="0"/>
        <w:rPr>
          <w:rFonts w:eastAsia="Times New Roman" w:cs="Calibri"/>
          <w:lang w:eastAsia="fr-FR"/>
        </w:rPr>
      </w:pPr>
      <w:r>
        <w:rPr>
          <w:rFonts w:eastAsia="Times New Roman" w:cs="Calibri"/>
          <w:lang w:eastAsia="fr-FR"/>
        </w:rPr>
        <w:t xml:space="preserve">§1. </w:t>
      </w:r>
      <w:r>
        <w:rPr>
          <w:rFonts w:eastAsia="Times New Roman" w:cs="Calibri"/>
          <w:u w:val="single"/>
          <w:lang w:eastAsia="fr-FR"/>
        </w:rPr>
        <w:t>Engagements du Pouvoir organisateur auprès duquel est établi le CTA</w:t>
      </w:r>
      <w:r>
        <w:rPr>
          <w:rFonts w:eastAsia="Times New Roman" w:cs="Calibri"/>
          <w:lang w:eastAsia="fr-FR"/>
        </w:rPr>
        <w:t xml:space="preserve"> :</w:t>
      </w:r>
    </w:p>
    <w:p>
      <w:pPr>
        <w:widowControl w:val="0"/>
        <w:numPr>
          <w:ilvl w:val="0"/>
          <w:numId w:val="3"/>
        </w:numPr>
        <w:shd w:val="clear" w:color="auto" w:fill="FFFFFF"/>
        <w:autoSpaceDE w:val="0"/>
        <w:autoSpaceDN w:val="0"/>
        <w:adjustRightInd w:val="0"/>
        <w:spacing w:after="0"/>
        <w:ind w:left="426"/>
        <w:jc w:val="left"/>
        <w:rPr>
          <w:rFonts w:eastAsia="Times New Roman" w:cs="Calibri"/>
          <w:lang w:eastAsia="fr-FR"/>
        </w:rPr>
      </w:pPr>
      <w:r>
        <w:rPr>
          <w:rFonts w:eastAsia="Times New Roman" w:cs="Calibri"/>
          <w:lang w:eastAsia="fr-FR"/>
        </w:rPr>
        <w:t>Quel que soit le type de formation organisée, le CTA accueille sans discrimination les enseignants issus des établissements d'enseignement obligatoire (dernier cycle de l’enseignement primaire ; premier cycle de l’enseignement secondaire ; 4</w:t>
      </w:r>
      <w:r>
        <w:rPr>
          <w:rFonts w:eastAsia="Times New Roman" w:cs="Calibri"/>
          <w:vertAlign w:val="superscript"/>
          <w:lang w:eastAsia="fr-FR"/>
        </w:rPr>
        <w:t>e</w:t>
      </w:r>
      <w:r>
        <w:rPr>
          <w:rFonts w:eastAsia="Times New Roman" w:cs="Calibri"/>
          <w:lang w:eastAsia="fr-FR"/>
        </w:rPr>
        <w:t xml:space="preserve"> année de l’enseignement secondaire organisée sous le régime de la CPU ; 3</w:t>
      </w:r>
      <w:r>
        <w:rPr>
          <w:rFonts w:eastAsia="Times New Roman" w:cs="Calibri"/>
          <w:vertAlign w:val="superscript"/>
          <w:lang w:eastAsia="fr-FR"/>
        </w:rPr>
        <w:t>e</w:t>
      </w:r>
      <w:r>
        <w:rPr>
          <w:rFonts w:eastAsia="Times New Roman" w:cs="Calibri"/>
          <w:lang w:eastAsia="fr-FR"/>
        </w:rPr>
        <w:t xml:space="preserve"> et 4</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ordinaire, de plein exercice ou en alternance ; 3</w:t>
      </w:r>
      <w:r>
        <w:rPr>
          <w:rFonts w:eastAsia="Times New Roman" w:cs="Calibri"/>
          <w:vertAlign w:val="superscript"/>
          <w:lang w:eastAsia="fr-FR"/>
        </w:rPr>
        <w:t>e</w:t>
      </w:r>
      <w:r>
        <w:rPr>
          <w:rFonts w:eastAsia="Times New Roman" w:cs="Calibri"/>
          <w:lang w:eastAsia="fr-FR"/>
        </w:rPr>
        <w:t xml:space="preserve"> degré de la section de qualification de l’enseignement secondaire spécialisé de forme 4, de plein exercice et en alternance ; 3</w:t>
      </w:r>
      <w:r>
        <w:rPr>
          <w:rFonts w:eastAsia="Times New Roman" w:cs="Calibri"/>
          <w:vertAlign w:val="superscript"/>
          <w:lang w:eastAsia="fr-FR"/>
        </w:rPr>
        <w:t>e</w:t>
      </w:r>
      <w:r>
        <w:rPr>
          <w:rFonts w:eastAsia="Times New Roman" w:cs="Calibri"/>
          <w:lang w:eastAsia="fr-FR"/>
        </w:rPr>
        <w:t xml:space="preserve"> phase de l’enseignement secondaire spécialisé de forme 3, de plein exercice et en alternance ; 3</w:t>
      </w:r>
      <w:r>
        <w:rPr>
          <w:rFonts w:eastAsia="Times New Roman" w:cs="Calibri"/>
          <w:vertAlign w:val="superscript"/>
          <w:lang w:eastAsia="fr-FR"/>
        </w:rPr>
        <w:t>e</w:t>
      </w:r>
      <w:r>
        <w:rPr>
          <w:rFonts w:eastAsia="Times New Roman" w:cs="Calibri"/>
          <w:lang w:eastAsia="fr-FR"/>
        </w:rPr>
        <w:t xml:space="preserve"> degré de l’enseignement technique de la section transition de l’enseignement secondaire ordinaire), d'enseignement de promotion sociale et d'enseignement supérieur.</w:t>
      </w:r>
    </w:p>
    <w:p>
      <w:pPr>
        <w:widowControl w:val="0"/>
        <w:numPr>
          <w:ilvl w:val="0"/>
          <w:numId w:val="3"/>
        </w:numPr>
        <w:shd w:val="clear" w:color="auto" w:fill="FFFFFF"/>
        <w:autoSpaceDE w:val="0"/>
        <w:autoSpaceDN w:val="0"/>
        <w:adjustRightInd w:val="0"/>
        <w:spacing w:after="0"/>
        <w:ind w:left="426" w:right="11"/>
        <w:jc w:val="left"/>
        <w:rPr>
          <w:rFonts w:eastAsia="Times New Roman" w:cs="Calibri"/>
          <w:lang w:eastAsia="fr-FR"/>
        </w:rPr>
      </w:pPr>
      <w:r>
        <w:rPr>
          <w:rFonts w:eastAsia="Times New Roman" w:cs="Calibri"/>
          <w:lang w:eastAsia="fr-FR"/>
        </w:rPr>
        <w:t>Quel que soit le type de formation organisée, le CTA met à disposition de l’opérateur-utilisateur l'infrastructure, les locaux équipés, le matériel didactique nécessaire au déroulement des formations ainsi que le personnel administratif de liaison. Ces équipements doivent être en parfait ordre de marche et respecter toutes les normes légales (sécurité, environnement, etc.).</w:t>
      </w:r>
    </w:p>
    <w:p>
      <w:pPr>
        <w:widowControl w:val="0"/>
        <w:numPr>
          <w:ilvl w:val="0"/>
          <w:numId w:val="3"/>
        </w:numPr>
        <w:shd w:val="clear" w:color="auto" w:fill="FFFFFF"/>
        <w:autoSpaceDE w:val="0"/>
        <w:autoSpaceDN w:val="0"/>
        <w:adjustRightInd w:val="0"/>
        <w:spacing w:after="0"/>
        <w:ind w:left="425" w:right="11" w:hanging="357"/>
        <w:jc w:val="left"/>
        <w:rPr>
          <w:rFonts w:eastAsia="Times New Roman" w:cs="Calibri"/>
          <w:lang w:eastAsia="fr-FR"/>
        </w:rPr>
      </w:pPr>
      <w:r>
        <w:rPr>
          <w:rFonts w:eastAsia="Times New Roman" w:cs="Calibri"/>
          <w:lang w:eastAsia="fr-FR"/>
        </w:rPr>
        <w:t>Le CTA s’engage à ne pas utiliser les informations personnelles transmises par l’opérateur-utilisateur à des fins publicitaires ou commerciales.</w:t>
      </w:r>
    </w:p>
    <w:p>
      <w:pPr>
        <w:shd w:val="clear" w:color="auto" w:fill="FFFFFF"/>
        <w:ind w:left="0" w:firstLine="0"/>
        <w:rPr>
          <w:rFonts w:eastAsia="Times New Roman" w:cs="Calibri"/>
          <w:lang w:eastAsia="fr-FR"/>
        </w:rPr>
      </w:pPr>
      <w:r>
        <w:rPr>
          <w:rFonts w:eastAsia="Times New Roman" w:cs="Calibri"/>
          <w:lang w:eastAsia="fr-FR"/>
        </w:rPr>
        <w:lastRenderedPageBreak/>
        <w:t xml:space="preserve">§2. </w:t>
      </w:r>
      <w:r>
        <w:rPr>
          <w:rFonts w:eastAsia="Times New Roman" w:cs="Calibri"/>
          <w:u w:val="single"/>
          <w:lang w:eastAsia="fr-FR"/>
        </w:rPr>
        <w:t>Engagements de l’opérateur-utilisateur</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 charge de demander l’accès aux équipements du CTA auprès du coordonnateur de ce dernier qui établit, avec l’opérateur-utilisateur, un calendrier de travail.</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Quel que soit le type de formation organisée, l'opérateur-utilisateur s’engage à faire encadrer les stagiaires par des formateurs pouvant attester d’une maitrise des équipements mis à disposition par le CTA, soit au moyen d’une attestation délivrée, soit au terme d’une formation préalable soit en raison d’une expérience professionnelle suffisante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Les stagiaires et les formateurs de l'opérateur-utilisateur s’engagent à respecter les dispositions du règlement d'ordre intérieur du CTA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utiliser en bon père de famille les équipements mis à sa disposition par le CTA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fournir au coordonnateur du CTA, au plus tard le premier jour de la formation, une liste complète des stagiaires et des formateurs inscrits aux formations et la preuve que ceux-ci sont assurés pendant toute la durée de la formation. La liste comprendra les noms, prénoms et dates de naissance de chacun des stagiaires et de chacun des formateurs. La transmission de ces informations est contractuelle. La non transmission de ces informations peut entraîner l’annulation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expliquer aux stagiaires qu’il envoie en formation au sein du CTA l’utilisation faite des données personnelles fournies au coordonnateur du centre avant chaque formation (voir article 8), ainsi que leur droit de demander au responsable du traitement final la rectification ou l'effacement de données à caractère personnel, ou une limitation du traitement des données à caractère personnel relatives à la personne concernée, leur droit de s'opposer à ce traitement et leur droit d'introduire une réclamation auprès d'une autorité de contrôle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Dans le cas où l'opérateur-utilisateur voudrait réaliser et emporter un produit fini, il est tenu d'en informer le coordonnateur du CTA lors de sa demande d'accès au CTA. Celui-ci se réserve néanmoins le droit de ne pas accéder à cette requête ;</w:t>
      </w:r>
    </w:p>
    <w:p>
      <w:pPr>
        <w:numPr>
          <w:ilvl w:val="0"/>
          <w:numId w:val="4"/>
        </w:numPr>
        <w:shd w:val="clear" w:color="auto" w:fill="FFFFFF"/>
        <w:spacing w:after="0"/>
        <w:ind w:left="426"/>
        <w:jc w:val="left"/>
        <w:rPr>
          <w:rFonts w:eastAsia="Times New Roman" w:cs="Calibri"/>
          <w:lang w:eastAsia="fr-FR"/>
        </w:rPr>
      </w:pPr>
      <w:r>
        <w:rPr>
          <w:rFonts w:eastAsia="Times New Roman" w:cs="Calibri"/>
          <w:lang w:eastAsia="fr-FR"/>
        </w:rPr>
        <w:t>L’opérateur-utilisateur s’engage à participer à l’évaluation des CTA s’il est sollicité à cet égard.</w:t>
      </w:r>
    </w:p>
    <w:p>
      <w:pPr>
        <w:shd w:val="clear" w:color="auto" w:fill="FFFFFF"/>
        <w:ind w:left="0" w:firstLine="0"/>
        <w:rPr>
          <w:rFonts w:eastAsia="Times New Roman" w:cs="Calibri"/>
          <w:b/>
          <w:bCs/>
          <w:lang w:eastAsia="fr-FR"/>
        </w:rPr>
      </w:pPr>
      <w:r>
        <w:rPr>
          <w:rFonts w:eastAsia="Times New Roman" w:cs="Calibri"/>
          <w:b/>
          <w:bCs/>
          <w:lang w:eastAsia="fr-FR"/>
        </w:rPr>
        <w:t>Article 5 : Organisation de la formation</w:t>
      </w:r>
    </w:p>
    <w:p>
      <w:pPr>
        <w:shd w:val="clear" w:color="auto" w:fill="FFFFFF"/>
        <w:ind w:left="0" w:right="36" w:firstLine="0"/>
        <w:rPr>
          <w:rFonts w:eastAsia="Times New Roman" w:cs="Calibri"/>
          <w:lang w:eastAsia="fr-FR"/>
        </w:rPr>
      </w:pPr>
      <w:r>
        <w:rPr>
          <w:rFonts w:eastAsia="Times New Roman" w:cs="Calibri"/>
          <w:lang w:eastAsia="fr-FR"/>
        </w:rPr>
        <w:t>Chaque formation organisée en présentiel peut faire l'objet d'une convention spécifique entre le CTA et l'opérateur-utilisateur précisant l'intitulé de la formation, les dates de formation, le nombre d'heures de formation, le nombre de stagiaires concernés. Pour les formations organisées à distance, la conclusion d’une convention spécifique est obligatoire.</w:t>
      </w:r>
    </w:p>
    <w:p>
      <w:pPr>
        <w:ind w:left="0" w:firstLine="0"/>
        <w:rPr>
          <w:rFonts w:eastAsia="Times New Roman" w:cs="Calibri"/>
          <w:lang w:eastAsia="fr-FR"/>
        </w:rPr>
      </w:pPr>
      <w:r>
        <w:rPr>
          <w:rFonts w:eastAsia="Times New Roman" w:cs="Calibri"/>
          <w:lang w:eastAsia="fr-FR"/>
        </w:rPr>
        <w:t xml:space="preserve">Dans tous les cas, l’opérateur-utilisateur s’engage à fournir au CTA la liste des participants ainsi que l’identité du formateur </w:t>
      </w:r>
      <w:r>
        <w:rPr>
          <w:rFonts w:eastAsia="Times New Roman" w:cs="Calibri"/>
          <w:b/>
          <w:u w:val="single"/>
          <w:lang w:eastAsia="fr-FR"/>
        </w:rPr>
        <w:t>au plus tard le premier jour de la formation</w:t>
      </w:r>
      <w:r>
        <w:rPr>
          <w:rFonts w:eastAsia="Times New Roman" w:cs="Calibri"/>
          <w:lang w:eastAsia="fr-FR"/>
        </w:rPr>
        <w:t>. Le CTA doit quant à lui obligatoirement communiquer les renseignements suivants aux futurs utilisateurs avant le début de la formation :</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le règlement d’ordre intérieur du CTA </w:t>
      </w:r>
    </w:p>
    <w:p>
      <w:pPr>
        <w:numPr>
          <w:ilvl w:val="0"/>
          <w:numId w:val="1"/>
        </w:numPr>
        <w:spacing w:after="0"/>
        <w:ind w:left="709" w:hanging="425"/>
        <w:jc w:val="left"/>
        <w:rPr>
          <w:rFonts w:eastAsia="Times New Roman" w:cs="Calibri"/>
          <w:lang w:eastAsia="fr-FR"/>
        </w:rPr>
      </w:pPr>
      <w:r>
        <w:rPr>
          <w:rFonts w:eastAsia="Times New Roman" w:cs="Calibri"/>
          <w:lang w:eastAsia="fr-FR"/>
        </w:rPr>
        <w:t>le programme de la formation</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l’analyse des risques pour les équipements proposés </w:t>
      </w:r>
    </w:p>
    <w:p>
      <w:pPr>
        <w:shd w:val="clear" w:color="auto" w:fill="FFFFFF"/>
        <w:ind w:left="0" w:right="34" w:firstLine="0"/>
        <w:rPr>
          <w:rFonts w:eastAsia="Times New Roman" w:cs="Calibri"/>
          <w:lang w:eastAsia="fr-FR"/>
        </w:rPr>
      </w:pPr>
      <w:r>
        <w:rPr>
          <w:rFonts w:eastAsia="Times New Roman" w:cs="Calibri"/>
          <w:lang w:eastAsia="fr-FR"/>
        </w:rPr>
        <w:t>Un état des lieux est établi avant le début du cycle de chaque formation. En cas de constatation de dysfonctionnement des équipements, l'opérateur-utilisateur signalera la chose avant le début de la formation.</w:t>
      </w:r>
    </w:p>
    <w:p>
      <w:pPr>
        <w:widowControl w:val="0"/>
        <w:shd w:val="clear" w:color="auto" w:fill="FFFFFF"/>
        <w:autoSpaceDE w:val="0"/>
        <w:autoSpaceDN w:val="0"/>
        <w:adjustRightInd w:val="0"/>
        <w:ind w:left="0" w:right="6" w:firstLine="0"/>
        <w:rPr>
          <w:rFonts w:eastAsia="Times New Roman" w:cs="Calibri"/>
          <w:b/>
          <w:bCs/>
          <w:lang w:eastAsia="fr-FR"/>
        </w:rPr>
      </w:pPr>
      <w:r>
        <w:rPr>
          <w:rFonts w:eastAsia="Times New Roman" w:cs="Calibri"/>
          <w:b/>
          <w:bCs/>
          <w:lang w:eastAsia="fr-FR"/>
        </w:rPr>
        <w:t>Article 6 : Responsabilités des partenaires</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§1</w:t>
      </w:r>
      <w:r>
        <w:rPr>
          <w:rFonts w:eastAsia="Times New Roman" w:cs="Calibri"/>
          <w:vertAlign w:val="superscript"/>
          <w:lang w:eastAsia="fr-FR"/>
        </w:rPr>
        <w:t>er</w:t>
      </w:r>
      <w:r>
        <w:rPr>
          <w:rFonts w:eastAsia="Times New Roman" w:cs="Calibri"/>
          <w:lang w:eastAsia="fr-FR"/>
        </w:rPr>
        <w:t xml:space="preserve">. </w:t>
      </w:r>
      <w:r>
        <w:rPr>
          <w:rFonts w:eastAsia="Times New Roman" w:cs="Calibri"/>
          <w:u w:val="single"/>
          <w:lang w:eastAsia="fr-FR"/>
        </w:rPr>
        <w:t>Responsabilités de l’opérateur-utilisateur</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 xml:space="preserve">L'opérateur-utilisateur veillera à ce que les formateurs et les stagiaires soient couverts pour l'ensemble des risques (responsabilité civile, accidents du travail, etc.) ; </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est responsable du comportement des personnes et des dégâts éventuels causés à l'infrastructure.</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lastRenderedPageBreak/>
        <w:t xml:space="preserve">§2. </w:t>
      </w:r>
      <w:r>
        <w:rPr>
          <w:rFonts w:eastAsia="Times New Roman" w:cs="Calibri"/>
          <w:u w:val="single"/>
          <w:lang w:eastAsia="fr-FR"/>
        </w:rPr>
        <w:t>Responsabilités du CTA</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Le CTA ne pourra être tenu responsable que pour les dommages causés par la défectuosité des bâtiments et/ou équipements mis à disposition de l’opérateur- utilisateur.</w:t>
      </w:r>
    </w:p>
    <w:p>
      <w:pPr>
        <w:ind w:left="0" w:firstLine="0"/>
        <w:outlineLvl w:val="0"/>
        <w:rPr>
          <w:rFonts w:eastAsia="Times New Roman" w:cs="Calibri"/>
          <w:b/>
          <w:bCs/>
          <w:lang w:eastAsia="fr-FR"/>
        </w:rPr>
      </w:pPr>
      <w:r>
        <w:rPr>
          <w:rFonts w:eastAsia="Times New Roman" w:cs="Calibri"/>
          <w:b/>
          <w:bCs/>
          <w:lang w:eastAsia="fr-FR"/>
        </w:rPr>
        <w:t>Article 7 : La prise en charge des frais</w:t>
      </w:r>
    </w:p>
    <w:p>
      <w:pPr>
        <w:shd w:val="clear" w:color="auto" w:fill="FFFFFF"/>
        <w:ind w:left="0" w:firstLine="0"/>
        <w:rPr>
          <w:rFonts w:eastAsia="Times New Roman" w:cs="Calibri"/>
          <w:lang w:eastAsia="fr-FR"/>
        </w:rPr>
      </w:pPr>
      <w:r>
        <w:rPr>
          <w:rFonts w:eastAsia="Times New Roman" w:cs="Calibri"/>
          <w:lang w:eastAsia="fr-FR"/>
        </w:rPr>
        <w:t>Aucun frais de fonctionnement ni de consommables ne sera facturé à l’opérateur-utilisateur.</w:t>
      </w:r>
    </w:p>
    <w:p>
      <w:pPr>
        <w:shd w:val="clear" w:color="auto" w:fill="FFFFFF"/>
        <w:ind w:left="0" w:firstLine="0"/>
        <w:rPr>
          <w:rFonts w:eastAsia="Times New Roman" w:cs="Calibri"/>
          <w:u w:val="single"/>
          <w:lang w:eastAsia="fr-FR"/>
        </w:rPr>
      </w:pPr>
      <w:r>
        <w:rPr>
          <w:rFonts w:eastAsia="Times New Roman" w:cs="Calibri"/>
          <w:lang w:eastAsia="fr-FR"/>
        </w:rPr>
        <w:t>L’organisation, les frais de déplacement et les frais d’hébergement seront pris en charge par l’opérateur-utilisateur.</w:t>
      </w:r>
    </w:p>
    <w:p>
      <w:pPr>
        <w:shd w:val="clear" w:color="auto" w:fill="FFFFFF"/>
        <w:ind w:left="0" w:firstLine="0"/>
        <w:rPr>
          <w:rFonts w:eastAsia="Times New Roman" w:cs="Calibri"/>
          <w:b/>
          <w:lang w:eastAsia="fr-FR"/>
        </w:rPr>
      </w:pPr>
      <w:r>
        <w:rPr>
          <w:rFonts w:eastAsia="Times New Roman" w:cs="Calibri"/>
          <w:b/>
          <w:lang w:eastAsia="fr-FR"/>
        </w:rPr>
        <w:t>Article 8 : Gestion des données personnelles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Comme mentionné à l’article 4, § 2, 5°, l’opérateur-utilisateur s’engage à fournir au coordonnateur du CTA, au plus tard le premier jour de la formation, une liste complète des stagiaires et des enseignants-formateurs inscrits aux formations. La liste comprendra les noms, prénoms, sexes et dates de naissance de chacun des stagiaires et de chacun des enseignants-formateurs.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Ces informations sont transmises à l’administration de la Fédération Wallonie-Bruxelles afin de :</w:t>
      </w:r>
    </w:p>
    <w:p>
      <w:pPr>
        <w:numPr>
          <w:ilvl w:val="0"/>
          <w:numId w:val="1"/>
        </w:numPr>
        <w:spacing w:after="0"/>
        <w:ind w:left="709" w:hanging="425"/>
        <w:jc w:val="left"/>
        <w:rPr>
          <w:rFonts w:eastAsia="Times New Roman" w:cs="Calibri"/>
          <w:lang w:eastAsia="fr-FR"/>
        </w:rPr>
      </w:pPr>
      <w:r>
        <w:rPr>
          <w:rFonts w:eastAsia="Times New Roman" w:cs="Calibri"/>
          <w:lang w:eastAsia="fr-FR"/>
        </w:rPr>
        <w:t>Calculer la fréquentation annuelle du CTA</w:t>
      </w:r>
    </w:p>
    <w:p>
      <w:pPr>
        <w:numPr>
          <w:ilvl w:val="0"/>
          <w:numId w:val="1"/>
        </w:numPr>
        <w:spacing w:after="0"/>
        <w:ind w:left="709" w:hanging="425"/>
        <w:jc w:val="left"/>
        <w:rPr>
          <w:rFonts w:eastAsia="Times New Roman" w:cs="Calibri"/>
          <w:lang w:eastAsia="fr-FR"/>
        </w:rPr>
      </w:pPr>
      <w:r>
        <w:rPr>
          <w:rFonts w:eastAsia="Times New Roman" w:cs="Calibri"/>
          <w:lang w:eastAsia="fr-FR"/>
        </w:rPr>
        <w:t>Verser la subvention annuelle octroyée par le Gouvernement de la Fédération Wallonie-Bruxelles</w:t>
      </w:r>
    </w:p>
    <w:p>
      <w:pPr>
        <w:numPr>
          <w:ilvl w:val="0"/>
          <w:numId w:val="1"/>
        </w:numPr>
        <w:spacing w:after="0"/>
        <w:ind w:left="709" w:hanging="425"/>
        <w:jc w:val="left"/>
        <w:rPr>
          <w:rFonts w:eastAsia="Times New Roman" w:cs="Calibri"/>
          <w:lang w:eastAsia="fr-FR"/>
        </w:rPr>
      </w:pPr>
      <w:r>
        <w:rPr>
          <w:rFonts w:eastAsia="Times New Roman" w:cs="Calibri"/>
          <w:lang w:eastAsia="fr-FR"/>
        </w:rPr>
        <w:t>Vérifier si l’opérateur-utilisateur a droit ou non au remboursement d’éventuels frais de déplacement et/ou d’hébergement</w:t>
      </w:r>
    </w:p>
    <w:p>
      <w:pPr>
        <w:numPr>
          <w:ilvl w:val="0"/>
          <w:numId w:val="1"/>
        </w:numPr>
        <w:spacing w:after="0"/>
        <w:ind w:left="709" w:hanging="425"/>
        <w:jc w:val="left"/>
        <w:rPr>
          <w:rFonts w:eastAsia="Times New Roman" w:cs="Calibri"/>
          <w:lang w:eastAsia="fr-FR"/>
        </w:rPr>
      </w:pPr>
      <w:r>
        <w:rPr>
          <w:rFonts w:eastAsia="Times New Roman" w:cs="Calibri"/>
          <w:lang w:eastAsia="fr-FR"/>
        </w:rPr>
        <w:t>Transmettre aux Gouvernements des entités fédérées ayant conclu les accords de coopération, ainsi qu’au Fonds européen de développement régional les analyses statistiques prévues réglementairement</w:t>
      </w:r>
    </w:p>
    <w:p>
      <w:pPr>
        <w:ind w:left="0" w:firstLine="0"/>
        <w:rPr>
          <w:rFonts w:eastAsia="Times New Roman" w:cs="Calibri"/>
          <w:lang w:eastAsia="fr-FR"/>
        </w:rPr>
      </w:pPr>
      <w:r>
        <w:rPr>
          <w:rFonts w:eastAsia="Times New Roman" w:cs="Calibri"/>
          <w:lang w:eastAsia="fr-FR"/>
        </w:rPr>
        <w:t>Toutes les informations personnelles sont anonymisées avant traitement.</w:t>
      </w:r>
    </w:p>
    <w:p>
      <w:pPr>
        <w:ind w:left="0" w:firstLine="0"/>
        <w:rPr>
          <w:rFonts w:eastAsia="Times New Roman" w:cs="Calibri"/>
          <w:lang w:eastAsia="fr-FR"/>
        </w:rPr>
      </w:pPr>
      <w:r>
        <w:rPr>
          <w:rFonts w:eastAsia="Times New Roman" w:cs="Calibri"/>
          <w:lang w:eastAsia="fr-FR"/>
        </w:rPr>
        <w:t>Les données personnelles sont conservées 10 ans au sein de l’administration. Une copie est également conservée au sein du CTA durant la même période.</w:t>
      </w:r>
    </w:p>
    <w:p>
      <w:pPr>
        <w:ind w:left="0" w:firstLine="0"/>
        <w:rPr>
          <w:rFonts w:eastAsia="Times New Roman" w:cs="Calibri"/>
          <w:lang w:eastAsia="fr-FR"/>
        </w:rPr>
      </w:pPr>
      <w:r>
        <w:rPr>
          <w:rFonts w:eastAsia="Times New Roman" w:cs="Calibri"/>
          <w:lang w:eastAsia="fr-FR"/>
        </w:rPr>
        <w:t>Aucune donnée n’est utilisée à des fins publicitaires ou commerciales.</w:t>
      </w:r>
    </w:p>
    <w:p>
      <w:pPr>
        <w:ind w:left="0" w:firstLine="0"/>
        <w:rPr>
          <w:rFonts w:eastAsia="Times New Roman" w:cs="Calibri"/>
          <w:lang w:eastAsia="fr-FR"/>
        </w:rPr>
      </w:pPr>
      <w:r>
        <w:rPr>
          <w:rFonts w:eastAsia="Times New Roman" w:cs="Calibri"/>
          <w:lang w:eastAsia="fr-FR"/>
        </w:rPr>
        <w:t>Pour toute information complémentaire, il convient de contacter le délégué à la protection des données désigné par le Pouvoir organisateur dont dépend le CTA</w:t>
      </w:r>
    </w:p>
    <w:p>
      <w:pPr>
        <w:ind w:left="0" w:firstLine="0"/>
        <w:rPr>
          <w:rFonts w:eastAsia="Times New Roman" w:cs="Calibri"/>
          <w:b/>
          <w:lang w:eastAsia="fr-FR"/>
        </w:rPr>
      </w:pPr>
      <w:r>
        <w:rPr>
          <w:rFonts w:eastAsia="Times New Roman" w:cs="Calibri"/>
          <w:b/>
          <w:lang w:eastAsia="fr-FR"/>
        </w:rPr>
        <w:t>Article 9 : Sanction</w:t>
      </w:r>
    </w:p>
    <w:p>
      <w:pPr>
        <w:shd w:val="clear" w:color="auto" w:fill="FFFFFF"/>
        <w:ind w:left="0" w:right="34" w:firstLine="0"/>
        <w:rPr>
          <w:rFonts w:eastAsia="Times New Roman" w:cs="Calibri"/>
          <w:lang w:eastAsia="fr-FR"/>
        </w:rPr>
      </w:pPr>
      <w:r>
        <w:rPr>
          <w:rFonts w:eastAsia="Times New Roman" w:cs="Calibri"/>
          <w:lang w:eastAsia="fr-FR"/>
        </w:rPr>
        <w:t>En cas d’annulation tardive et répétée de la formation réservée, le CTA se réserve le droit d’interdire son accès pendant une période déterminée et soumise à l’approbation du comité d’accompagnement.</w:t>
      </w:r>
    </w:p>
    <w:p>
      <w:pPr>
        <w:ind w:left="0" w:firstLine="0"/>
        <w:rPr>
          <w:rFonts w:eastAsia="Times New Roman" w:cs="Calibri"/>
          <w:b/>
          <w:bCs/>
          <w:lang w:eastAsia="fr-FR"/>
        </w:rPr>
      </w:pPr>
      <w:r>
        <w:rPr>
          <w:rFonts w:eastAsia="Times New Roman" w:cs="Calibri"/>
          <w:b/>
          <w:bCs/>
          <w:lang w:eastAsia="fr-FR"/>
        </w:rPr>
        <w:br w:type="page"/>
      </w:r>
    </w:p>
    <w:p>
      <w:pPr>
        <w:shd w:val="clear" w:color="auto" w:fill="FFFFFF"/>
        <w:ind w:left="0" w:firstLine="0"/>
        <w:outlineLvl w:val="0"/>
        <w:rPr>
          <w:rFonts w:eastAsia="Times New Roman" w:cs="Calibri"/>
          <w:b/>
          <w:bCs/>
          <w:lang w:eastAsia="fr-FR"/>
        </w:rPr>
      </w:pPr>
      <w:r>
        <w:rPr>
          <w:rFonts w:eastAsia="Times New Roman" w:cs="Calibri"/>
          <w:b/>
          <w:bCs/>
          <w:lang w:eastAsia="fr-FR"/>
        </w:rPr>
        <w:t>Article 10 : Durée de la convention</w:t>
      </w:r>
    </w:p>
    <w:p>
      <w:pPr>
        <w:shd w:val="clear" w:color="auto" w:fill="FFFFFF"/>
        <w:ind w:left="0" w:firstLine="0"/>
        <w:rPr>
          <w:rFonts w:eastAsia="Times New Roman" w:cs="Calibri"/>
          <w:lang w:eastAsia="fr-FR"/>
        </w:rPr>
      </w:pPr>
      <w:r>
        <w:rPr>
          <w:rFonts w:eastAsia="Times New Roman" w:cs="Calibri"/>
          <w:lang w:eastAsia="fr-FR"/>
        </w:rPr>
        <w:t>La présente convention est conclue par année scolaire et sera reconduite tacitement l’année scolaire suivante.</w:t>
      </w:r>
    </w:p>
    <w:p>
      <w:pPr>
        <w:shd w:val="clear" w:color="auto" w:fill="FFFFFF"/>
        <w:ind w:left="0" w:firstLine="0"/>
        <w:rPr>
          <w:rFonts w:eastAsia="Times New Roman" w:cs="Calibri"/>
          <w:lang w:eastAsia="fr-FR"/>
        </w:rPr>
      </w:pPr>
      <w:r>
        <w:rPr>
          <w:rFonts w:eastAsia="Times New Roman" w:cs="Calibri"/>
          <w:lang w:eastAsia="fr-FR"/>
        </w:rPr>
        <w:t>Elle pourra être dénoncée à la demande d’une des parties, moyennant un préavis de trois mois via l’envoi d’un recommandé.</w:t>
      </w: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r>
        <w:rPr>
          <w:rFonts w:eastAsia="Times New Roman" w:cs="Calibri"/>
          <w:lang w:eastAsia="fr-FR"/>
        </w:rPr>
        <w:t>Fait le …/…/20..… en 2 exemplaires signés respectivement par chacune des parties.</w:t>
      </w:r>
    </w:p>
    <w:p>
      <w:pPr>
        <w:tabs>
          <w:tab w:val="left" w:pos="0"/>
          <w:tab w:val="right" w:pos="9000"/>
        </w:tabs>
        <w:suppressAutoHyphens/>
        <w:ind w:left="0" w:firstLine="0"/>
        <w:rPr>
          <w:rFonts w:eastAsia="Times New Roman" w:cs="Calibri"/>
          <w:lang w:eastAsia="fr-FR"/>
        </w:rPr>
      </w:pPr>
    </w:p>
    <w:p>
      <w:pPr>
        <w:tabs>
          <w:tab w:val="left" w:pos="0"/>
          <w:tab w:val="right" w:pos="9000"/>
        </w:tabs>
        <w:suppressAutoHyphens/>
        <w:ind w:left="0" w:firstLine="0"/>
        <w:rPr>
          <w:rFonts w:eastAsia="Times New Roman" w:cs="Calibri"/>
          <w:lang w:eastAsia="fr-FR"/>
        </w:rPr>
      </w:pPr>
    </w:p>
    <w:p>
      <w:pPr>
        <w:tabs>
          <w:tab w:val="left" w:pos="0"/>
          <w:tab w:val="right" w:pos="9000"/>
        </w:tabs>
        <w:suppressAutoHyphens/>
        <w:ind w:left="0" w:firstLine="0"/>
        <w:rPr>
          <w:rFonts w:eastAsia="Times New Roman" w:cs="Calibr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4709"/>
      </w:tblGrid>
      <w:tr>
        <w:trPr>
          <w:trHeight w:val="2672"/>
        </w:trPr>
        <w:tc>
          <w:tcPr>
            <w:tcW w:w="4219" w:type="dxa"/>
          </w:tcPr>
          <w:p>
            <w:pPr>
              <w:suppressAutoHyphens/>
              <w:ind w:left="0" w:firstLine="0"/>
              <w:jc w:val="center"/>
              <w:rPr>
                <w:rFonts w:eastAsia="Times New Roman" w:cs="Calibri"/>
                <w:lang w:eastAsia="fr-FR"/>
              </w:rPr>
            </w:pPr>
          </w:p>
          <w:p>
            <w:pPr>
              <w:suppressAutoHyphens/>
              <w:ind w:left="0" w:firstLine="0"/>
              <w:jc w:val="center"/>
              <w:rPr>
                <w:rFonts w:eastAsia="Times New Roman" w:cs="Calibri"/>
                <w:lang w:eastAsia="fr-FR"/>
              </w:rPr>
            </w:pPr>
            <w:r>
              <w:rPr>
                <w:rFonts w:eastAsia="Times New Roman" w:cs="Calibri"/>
                <w:lang w:eastAsia="fr-FR"/>
              </w:rPr>
              <w:t>Pour le CTA,</w:t>
            </w:r>
          </w:p>
          <w:p>
            <w:pPr>
              <w:suppressAutoHyphens/>
              <w:ind w:left="0" w:firstLine="0"/>
              <w:jc w:val="center"/>
              <w:rPr>
                <w:rFonts w:eastAsia="Times New Roman" w:cs="Calibri"/>
                <w:lang w:eastAsia="fr-FR"/>
              </w:rPr>
            </w:pPr>
          </w:p>
          <w:p>
            <w:pPr>
              <w:suppressAutoHyphens/>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rPr>
                <w:rFonts w:eastAsia="Times New Roman" w:cs="Calibri"/>
                <w:lang w:eastAsia="fr-FR"/>
              </w:rPr>
            </w:pPr>
          </w:p>
        </w:tc>
        <w:tc>
          <w:tcPr>
            <w:tcW w:w="4709" w:type="dxa"/>
          </w:tcPr>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Pour l’opérateur-utilisateur,</w:t>
            </w:r>
          </w:p>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rPr>
                <w:rFonts w:eastAsia="Times New Roman" w:cs="Calibri"/>
                <w:lang w:eastAsia="fr-FR"/>
              </w:rPr>
            </w:pPr>
          </w:p>
        </w:tc>
      </w:tr>
    </w:tbl>
    <w:p>
      <w:pPr>
        <w:shd w:val="clear" w:color="auto" w:fill="FFFFFF"/>
        <w:ind w:left="0" w:firstLine="0"/>
        <w:rPr>
          <w:rFonts w:eastAsia="Times New Roman" w:cs="Calibri"/>
          <w:b/>
          <w:bCs/>
          <w:u w:val="single"/>
          <w:lang w:eastAsia="fr-FR"/>
        </w:rPr>
      </w:pPr>
    </w:p>
    <w:p>
      <w:pPr>
        <w:pBdr>
          <w:top w:val="single" w:sz="8" w:space="1" w:color="auto"/>
          <w:left w:val="single" w:sz="8" w:space="4" w:color="auto"/>
          <w:bottom w:val="single" w:sz="8" w:space="1" w:color="auto"/>
          <w:right w:val="single" w:sz="8" w:space="12" w:color="auto"/>
        </w:pBdr>
        <w:shd w:val="clear" w:color="auto" w:fill="FFFFFF"/>
        <w:ind w:left="0" w:right="221" w:firstLine="0"/>
        <w:jc w:val="center"/>
        <w:rPr>
          <w:rFonts w:eastAsia="Times New Roman" w:cs="Calibri"/>
          <w:b/>
          <w:smallCaps/>
          <w:lang w:eastAsia="fr-FR"/>
        </w:rPr>
      </w:pPr>
      <w:r>
        <w:rPr>
          <w:rFonts w:eastAsia="Times New Roman" w:cs="Calibri"/>
          <w:b/>
          <w:bCs/>
          <w:sz w:val="24"/>
          <w:szCs w:val="24"/>
          <w:u w:val="single"/>
          <w:lang w:eastAsia="fr-FR"/>
        </w:rPr>
        <w:br w:type="page"/>
      </w:r>
      <w:r>
        <w:rPr>
          <w:noProof/>
          <w:lang w:eastAsia="fr-BE"/>
        </w:rPr>
        <w:lastRenderedPageBreak/>
        <mc:AlternateContent>
          <mc:Choice Requires="wps">
            <w:drawing>
              <wp:anchor distT="0" distB="0" distL="114298" distR="114298" simplePos="0" relativeHeight="251659264" behindDoc="0" locked="0" layoutInCell="1" allowOverlap="1">
                <wp:simplePos x="0" y="0"/>
                <wp:positionH relativeFrom="margin">
                  <wp:posOffset>-1600201</wp:posOffset>
                </wp:positionH>
                <wp:positionV relativeFrom="paragraph">
                  <wp:posOffset>176530</wp:posOffset>
                </wp:positionV>
                <wp:extent cx="0" cy="626110"/>
                <wp:effectExtent l="0" t="0" r="19050" b="2159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611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26pt,13.9pt" to="-126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" strokeweight=".9pt">
                <w10:wrap anchorx="margin"/>
              </v:line>
            </w:pict>
          </mc:Fallback>
        </mc:AlternateContent>
      </w:r>
      <w:r>
        <w:rPr>
          <w:rFonts w:eastAsia="Times New Roman" w:cs="Calibri"/>
          <w:b/>
          <w:bCs/>
          <w:caps/>
          <w:lang w:eastAsia="fr-FR"/>
        </w:rPr>
        <w:t xml:space="preserve">Convention spécifique DE COLLABORATION entre les Centres de Technologies Avancées et </w:t>
      </w:r>
      <w:r>
        <w:rPr>
          <w:rFonts w:eastAsia="Times New Roman" w:cs="Calibri"/>
          <w:b/>
          <w:bCs/>
          <w:smallCaps/>
          <w:lang w:eastAsia="fr-FR"/>
        </w:rPr>
        <w:t>LES OPERATEURS DE FORMATION CONTINUE DES ENSEIGNANTS</w:t>
      </w:r>
    </w:p>
    <w:p>
      <w:pPr>
        <w:shd w:val="clear" w:color="auto" w:fill="FFFFFF"/>
        <w:tabs>
          <w:tab w:val="left" w:leader="underscore" w:pos="2347"/>
          <w:tab w:val="left" w:leader="underscore" w:pos="8467"/>
        </w:tabs>
        <w:ind w:left="0" w:firstLine="0"/>
        <w:jc w:val="left"/>
        <w:rPr>
          <w:rFonts w:eastAsia="Times New Roman" w:cs="Calibri"/>
          <w:b/>
          <w:lang w:eastAsia="fr-FR"/>
        </w:rPr>
      </w:pPr>
      <w:r>
        <w:rPr>
          <w:rFonts w:eastAsia="Times New Roman" w:cs="Calibri"/>
          <w:b/>
          <w:lang w:eastAsia="fr-FR"/>
        </w:rPr>
        <w:t>Cette convention spécifique n’est valable que pour autant qu’elle soit accompagnée de la convention générale signée par les partenaires.</w:t>
      </w:r>
    </w:p>
    <w:p>
      <w:pPr>
        <w:pBdr>
          <w:top w:val="single" w:sz="8" w:space="1" w:color="auto"/>
          <w:left w:val="single" w:sz="8" w:space="4" w:color="auto"/>
          <w:bottom w:val="single" w:sz="8" w:space="1" w:color="auto"/>
          <w:right w:val="single" w:sz="8" w:space="4" w:color="auto"/>
        </w:pBdr>
        <w:shd w:val="clear" w:color="auto" w:fill="FFFFFF"/>
        <w:ind w:left="0" w:firstLine="0"/>
        <w:jc w:val="left"/>
        <w:outlineLvl w:val="0"/>
        <w:rPr>
          <w:rFonts w:eastAsia="Times New Roman" w:cs="Calibri"/>
          <w:b/>
          <w:caps/>
          <w:lang w:eastAsia="fr-FR"/>
        </w:rPr>
      </w:pPr>
      <w:r>
        <w:rPr>
          <w:noProof/>
          <w:lang w:eastAsia="fr-BE"/>
        </w:rPr>
        <mc:AlternateContent>
          <mc:Choice Requires="wps">
            <w:drawing>
              <wp:anchor distT="0" distB="0" distL="114298" distR="114298" simplePos="0" relativeHeight="251660288" behindDoc="0" locked="0" layoutInCell="1" allowOverlap="1">
                <wp:simplePos x="0" y="0"/>
                <wp:positionH relativeFrom="margin">
                  <wp:posOffset>-1752601</wp:posOffset>
                </wp:positionH>
                <wp:positionV relativeFrom="paragraph">
                  <wp:posOffset>271780</wp:posOffset>
                </wp:positionV>
                <wp:extent cx="0" cy="240030"/>
                <wp:effectExtent l="0" t="0" r="19050" b="2667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38pt,21.4pt" to="-138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" strokeweight=".9pt">
                <w10:wrap anchorx="margin"/>
              </v:line>
            </w:pict>
          </mc:Fallback>
        </mc:AlternateContent>
      </w:r>
      <w:r>
        <w:rPr>
          <w:rFonts w:eastAsia="Times New Roman" w:cs="Calibri"/>
          <w:b/>
          <w:caps/>
          <w:lang w:eastAsia="fr-FR"/>
        </w:rPr>
        <w:t>Centre de Technologies Avancées</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100"/>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OPERATEUR-UTILISATEUR</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097"/>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FORMATION</w:t>
      </w:r>
    </w:p>
    <w:p>
      <w:pPr>
        <w:shd w:val="clear" w:color="auto" w:fill="FFFFFF"/>
        <w:ind w:left="0" w:right="5443" w:firstLine="0"/>
        <w:jc w:val="left"/>
        <w:rPr>
          <w:rFonts w:eastAsia="Times New Roman" w:cs="Calibri"/>
          <w:lang w:eastAsia="fr-FR"/>
        </w:rPr>
      </w:pPr>
      <w:r>
        <w:rPr>
          <w:rFonts w:eastAsia="Times New Roman" w:cs="Calibri"/>
          <w:lang w:eastAsia="fr-FR"/>
        </w:rPr>
        <w:t>Intitulé :</w:t>
      </w:r>
    </w:p>
    <w:p>
      <w:pPr>
        <w:shd w:val="clear" w:color="auto" w:fill="FFFFFF"/>
        <w:ind w:left="0" w:right="5443" w:firstLine="0"/>
        <w:jc w:val="left"/>
        <w:rPr>
          <w:rFonts w:eastAsia="Times New Roman" w:cs="Calibri"/>
          <w:lang w:eastAsia="fr-FR"/>
        </w:rPr>
      </w:pPr>
      <w:r>
        <w:rPr>
          <w:rFonts w:eastAsia="Times New Roman" w:cs="Calibri"/>
          <w:lang w:eastAsia="fr-FR"/>
        </w:rPr>
        <w:t>Durée (en jours de formation) :</w:t>
      </w:r>
    </w:p>
    <w:p>
      <w:pPr>
        <w:shd w:val="clear" w:color="auto" w:fill="FFFFFF"/>
        <w:ind w:left="0" w:right="5443" w:firstLine="0"/>
        <w:jc w:val="left"/>
        <w:rPr>
          <w:rFonts w:eastAsia="Times New Roman" w:cs="Calibri"/>
          <w:lang w:eastAsia="fr-FR"/>
        </w:rPr>
      </w:pPr>
      <w:r>
        <w:rPr>
          <w:rFonts w:eastAsia="Times New Roman" w:cs="Calibri"/>
          <w:lang w:eastAsia="fr-FR"/>
        </w:rPr>
        <w:t>Nombre d'heures de théorie :</w:t>
      </w:r>
    </w:p>
    <w:p>
      <w:pPr>
        <w:shd w:val="clear" w:color="auto" w:fill="FFFFFF"/>
        <w:ind w:left="0" w:right="5443" w:firstLine="0"/>
        <w:jc w:val="left"/>
        <w:rPr>
          <w:rFonts w:eastAsia="Times New Roman" w:cs="Calibri"/>
          <w:lang w:eastAsia="fr-FR"/>
        </w:rPr>
      </w:pPr>
      <w:r>
        <w:rPr>
          <w:rFonts w:eastAsia="Times New Roman" w:cs="Calibri"/>
          <w:lang w:eastAsia="fr-FR"/>
        </w:rPr>
        <w:t xml:space="preserve">Nombre d'heures de pratique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Date(s)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Horaire : </w:t>
      </w:r>
    </w:p>
    <w:p>
      <w:pPr>
        <w:shd w:val="clear" w:color="auto" w:fill="FFFFFF"/>
        <w:ind w:left="0" w:firstLine="0"/>
        <w:jc w:val="left"/>
        <w:rPr>
          <w:rFonts w:eastAsia="Times New Roman" w:cs="Calibri"/>
          <w:lang w:eastAsia="fr-FR"/>
        </w:rPr>
      </w:pPr>
      <w:r>
        <w:rPr>
          <w:rFonts w:eastAsia="Times New Roman" w:cs="Calibri"/>
          <w:lang w:eastAsia="fr-FR"/>
        </w:rPr>
        <w:t>Type de formation : formation en présentiel – formation à distance (biffer les mentions inutiles)</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PARTICIPANTS</w:t>
      </w:r>
    </w:p>
    <w:p>
      <w:pPr>
        <w:tabs>
          <w:tab w:val="left" w:pos="4860"/>
        </w:tabs>
        <w:ind w:left="0" w:firstLine="0"/>
        <w:jc w:val="left"/>
        <w:rPr>
          <w:rFonts w:eastAsia="Times New Roman" w:cs="Calibri"/>
          <w:lang w:eastAsia="fr-FR"/>
        </w:rPr>
      </w:pPr>
      <w:r>
        <w:rPr>
          <w:rFonts w:eastAsia="Times New Roman" w:cs="Calibri"/>
          <w:lang w:eastAsia="fr-FR"/>
        </w:rPr>
        <w:t>O Formateur(s)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jc w:val="left"/>
        <w:rPr>
          <w:rFonts w:eastAsia="Times New Roman" w:cs="Calibri"/>
          <w:lang w:eastAsia="fr-FR"/>
        </w:rPr>
      </w:pPr>
      <w:r>
        <w:rPr>
          <w:rFonts w:eastAsia="Times New Roman" w:cs="Calibri"/>
          <w:lang w:eastAsia="fr-FR"/>
        </w:rPr>
        <w:t>O Stagiaire(s)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jc w:val="left"/>
        <w:rPr>
          <w:rFonts w:eastAsia="Times New Roman" w:cs="Calibri"/>
          <w:lang w:eastAsia="fr-FR"/>
        </w:rPr>
      </w:pPr>
    </w:p>
    <w:p>
      <w:pPr>
        <w:shd w:val="clear" w:color="auto" w:fill="FFFFFF"/>
        <w:ind w:left="0" w:firstLine="0"/>
        <w:jc w:val="left"/>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lang w:eastAsia="fr-FR"/>
        </w:rPr>
        <w:t>La présente convention prend effet à la date de sa signature, elle prend fin à l'issue du cycle de formation.</w:t>
      </w:r>
    </w:p>
    <w:p>
      <w:pPr>
        <w:shd w:val="clear" w:color="auto" w:fill="FFFFFF"/>
        <w:tabs>
          <w:tab w:val="left" w:leader="dot" w:pos="2318"/>
        </w:tabs>
        <w:ind w:left="0" w:firstLine="0"/>
        <w:jc w:val="left"/>
        <w:rPr>
          <w:rFonts w:eastAsia="Times New Roman" w:cs="Calibri"/>
          <w:lang w:eastAsia="fr-FR"/>
        </w:rPr>
      </w:pPr>
    </w:p>
    <w:p>
      <w:pPr>
        <w:shd w:val="clear" w:color="auto" w:fill="FFFFFF"/>
        <w:tabs>
          <w:tab w:val="left" w:leader="dot" w:pos="2318"/>
        </w:tabs>
        <w:ind w:left="0" w:firstLine="0"/>
        <w:jc w:val="left"/>
        <w:rPr>
          <w:rFonts w:eastAsia="Times New Roman" w:cs="Calibri"/>
          <w:lang w:eastAsia="fr-FR"/>
        </w:rPr>
      </w:pPr>
      <w:r>
        <w:rPr>
          <w:rFonts w:eastAsia="Times New Roman" w:cs="Calibri"/>
          <w:lang w:eastAsia="fr-FR"/>
        </w:rPr>
        <w:t>Fait le …../…../20..… en 2 exemplaires signés respectivement par chacune des parties.</w:t>
      </w:r>
    </w:p>
    <w:p>
      <w:pPr>
        <w:shd w:val="clear" w:color="auto" w:fill="FFFFFF"/>
        <w:tabs>
          <w:tab w:val="left" w:leader="dot" w:pos="2318"/>
        </w:tabs>
        <w:ind w:left="0" w:firstLine="0"/>
        <w:jc w:val="left"/>
        <w:rPr>
          <w:rFonts w:eastAsia="Times New Roman" w:cs="Calibri"/>
          <w:lang w:eastAsia="fr-FR"/>
        </w:rPr>
      </w:pP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le Centre de Technologies Avancées, </w:t>
      </w:r>
      <w:r>
        <w:rPr>
          <w:rFonts w:eastAsia="Times New Roman" w:cs="Calibri"/>
          <w:lang w:eastAsia="fr-FR"/>
        </w:rPr>
        <w:br/>
        <w:t>Nom et qualité du signataire :</w:t>
      </w:r>
    </w:p>
    <w:p>
      <w:pPr>
        <w:shd w:val="clear" w:color="auto" w:fill="FFFFFF"/>
        <w:ind w:left="0" w:right="23" w:firstLine="0"/>
        <w:jc w:val="center"/>
        <w:rPr>
          <w:rFonts w:eastAsia="Times New Roman" w:cs="Calibri"/>
          <w:b/>
          <w:bCs/>
          <w:sz w:val="24"/>
          <w:szCs w:val="24"/>
          <w:u w:val="single"/>
          <w:lang w:eastAsia="fr-FR"/>
        </w:rPr>
      </w:pPr>
      <w:r>
        <w:rPr>
          <w:rFonts w:eastAsia="Times New Roman" w:cs="Calibri"/>
          <w:lang w:eastAsia="fr-FR"/>
        </w:rPr>
        <w:t xml:space="preserve">Pour l'opérateur-utilisateur, </w:t>
      </w:r>
      <w:r>
        <w:rPr>
          <w:rFonts w:eastAsia="Times New Roman" w:cs="Calibri"/>
          <w:lang w:eastAsia="fr-FR"/>
        </w:rPr>
        <w:br/>
        <w:t>Nom et qualité du signataire :</w:t>
      </w:r>
      <w:r>
        <w:rPr>
          <w:rFonts w:eastAsia="Times New Roman" w:cs="Calibri"/>
          <w:b/>
          <w:bCs/>
          <w:sz w:val="24"/>
          <w:szCs w:val="24"/>
          <w:u w:val="single"/>
          <w:lang w:eastAsia="fr-FR"/>
        </w:rPr>
        <w:br w:type="page"/>
      </w:r>
    </w:p>
    <w:p>
      <w:pPr>
        <w:shd w:val="clear" w:color="auto" w:fill="FFFFFF"/>
        <w:spacing w:after="0"/>
        <w:ind w:left="0" w:firstLine="0"/>
        <w:jc w:val="left"/>
        <w:outlineLvl w:val="0"/>
        <w:rPr>
          <w:rFonts w:eastAsia="Times New Roman" w:cs="Calibri"/>
          <w:b/>
          <w:sz w:val="24"/>
          <w:szCs w:val="24"/>
          <w:lang w:eastAsia="fr-FR"/>
        </w:rPr>
      </w:pPr>
      <w:r>
        <w:rPr>
          <w:rFonts w:eastAsia="Times New Roman" w:cs="Calibri"/>
          <w:b/>
          <w:bCs/>
          <w:sz w:val="24"/>
          <w:szCs w:val="24"/>
          <w:u w:val="single"/>
          <w:lang w:eastAsia="fr-FR"/>
        </w:rPr>
        <w:t>Annexe 1 : Règlement d'ordre intérieur du CTA</w:t>
      </w:r>
    </w:p>
    <w:p>
      <w:pPr>
        <w:shd w:val="clear" w:color="auto" w:fill="FFFFFF"/>
        <w:spacing w:after="0"/>
        <w:ind w:left="0" w:firstLine="0"/>
        <w:jc w:val="left"/>
        <w:rPr>
          <w:rFonts w:eastAsia="Times New Roman" w:cs="Calibri"/>
          <w:b/>
          <w:bCs/>
          <w:sz w:val="24"/>
          <w:szCs w:val="24"/>
          <w:u w:val="single"/>
          <w:lang w:eastAsia="fr-FR"/>
        </w:rPr>
      </w:pPr>
    </w:p>
    <w:p>
      <w:pPr>
        <w:shd w:val="clear" w:color="auto" w:fill="FFFFFF"/>
        <w:spacing w:after="0"/>
        <w:ind w:left="0" w:firstLine="0"/>
        <w:jc w:val="left"/>
        <w:rPr>
          <w:rFonts w:eastAsia="Times New Roman" w:cs="Calibri"/>
          <w:b/>
          <w:bCs/>
          <w:sz w:val="24"/>
          <w:szCs w:val="24"/>
          <w:u w:val="single"/>
          <w:lang w:eastAsia="fr-FR"/>
        </w:rPr>
      </w:pPr>
    </w:p>
    <w:p>
      <w:pPr>
        <w:shd w:val="clear" w:color="auto" w:fill="FFFFFF"/>
        <w:spacing w:after="0"/>
        <w:ind w:left="0" w:firstLine="0"/>
        <w:jc w:val="left"/>
        <w:outlineLvl w:val="0"/>
        <w:rPr>
          <w:rFonts w:eastAsia="Times New Roman" w:cs="Calibri"/>
          <w:b/>
          <w:sz w:val="24"/>
          <w:szCs w:val="24"/>
          <w:lang w:eastAsia="fr-FR"/>
        </w:rPr>
      </w:pPr>
      <w:r>
        <w:rPr>
          <w:rFonts w:eastAsia="Times New Roman" w:cs="Calibri"/>
          <w:b/>
          <w:bCs/>
          <w:sz w:val="24"/>
          <w:szCs w:val="24"/>
          <w:u w:val="single"/>
          <w:lang w:eastAsia="fr-FR"/>
        </w:rPr>
        <w:t>Annexe 2 : Programme de formation</w:t>
      </w:r>
    </w:p>
    <w:p>
      <w:pPr>
        <w:shd w:val="clear" w:color="auto" w:fill="FFFFFF"/>
        <w:spacing w:after="0"/>
        <w:ind w:left="0" w:firstLine="0"/>
        <w:jc w:val="left"/>
        <w:rPr>
          <w:rFonts w:eastAsia="Times New Roman" w:cs="Calibri"/>
          <w:b/>
          <w:bCs/>
          <w:sz w:val="24"/>
          <w:szCs w:val="24"/>
          <w:u w:val="single"/>
          <w:lang w:eastAsia="fr-FR"/>
        </w:rPr>
      </w:pPr>
    </w:p>
    <w:p>
      <w:pPr>
        <w:shd w:val="clear" w:color="auto" w:fill="FFFFFF"/>
        <w:spacing w:after="0"/>
        <w:ind w:left="0" w:firstLine="0"/>
        <w:jc w:val="left"/>
        <w:rPr>
          <w:rFonts w:eastAsia="Times New Roman" w:cs="Calibri"/>
          <w:b/>
          <w:bCs/>
          <w:sz w:val="24"/>
          <w:szCs w:val="24"/>
          <w:u w:val="single"/>
          <w:lang w:eastAsia="fr-FR"/>
        </w:rPr>
      </w:pPr>
    </w:p>
    <w:p>
      <w:pPr>
        <w:shd w:val="clear" w:color="auto" w:fill="FFFFFF"/>
        <w:spacing w:after="0"/>
        <w:ind w:left="0" w:firstLine="0"/>
        <w:jc w:val="left"/>
        <w:outlineLvl w:val="0"/>
        <w:rPr>
          <w:rFonts w:eastAsia="Times New Roman" w:cs="Calibri"/>
          <w:b/>
          <w:sz w:val="24"/>
          <w:szCs w:val="24"/>
          <w:lang w:eastAsia="fr-FR"/>
        </w:rPr>
      </w:pPr>
      <w:r>
        <w:rPr>
          <w:rFonts w:eastAsia="Times New Roman" w:cs="Calibri"/>
          <w:b/>
          <w:bCs/>
          <w:sz w:val="24"/>
          <w:szCs w:val="24"/>
          <w:u w:val="single"/>
          <w:lang w:eastAsia="fr-FR"/>
        </w:rPr>
        <w:t>Annexe 3 : Liste d'analyse des risques pour les équipements proposés</w:t>
      </w:r>
    </w:p>
    <w:p>
      <w:pPr>
        <w:shd w:val="clear" w:color="auto" w:fill="FFFFFF"/>
        <w:spacing w:after="0"/>
        <w:ind w:left="0" w:firstLine="0"/>
        <w:jc w:val="left"/>
        <w:rPr>
          <w:rFonts w:eastAsia="Times New Roman" w:cs="Calibri"/>
          <w:bCs/>
          <w:sz w:val="24"/>
          <w:szCs w:val="24"/>
          <w:lang w:eastAsia="fr-FR"/>
        </w:rPr>
      </w:pPr>
    </w:p>
    <w:p>
      <w:pPr>
        <w:shd w:val="clear" w:color="auto" w:fill="FFFFFF"/>
        <w:spacing w:after="0"/>
        <w:ind w:left="0" w:firstLine="0"/>
        <w:jc w:val="left"/>
        <w:rPr>
          <w:rFonts w:eastAsia="Times New Roman" w:cs="Calibri"/>
          <w:bCs/>
          <w:sz w:val="24"/>
          <w:szCs w:val="24"/>
          <w:lang w:eastAsia="fr-FR"/>
        </w:rPr>
      </w:pPr>
    </w:p>
    <w:p>
      <w:pPr>
        <w:shd w:val="clear" w:color="auto" w:fill="FFFFFF"/>
        <w:spacing w:after="0"/>
        <w:ind w:left="0" w:firstLine="0"/>
        <w:jc w:val="left"/>
        <w:outlineLvl w:val="0"/>
        <w:rPr>
          <w:rFonts w:eastAsia="Times New Roman" w:cs="Calibri"/>
          <w:sz w:val="24"/>
          <w:szCs w:val="24"/>
          <w:lang w:eastAsia="fr-FR"/>
        </w:rPr>
      </w:pPr>
      <w:r>
        <w:rPr>
          <w:rFonts w:eastAsia="Times New Roman" w:cs="Calibri"/>
          <w:bCs/>
          <w:sz w:val="24"/>
          <w:szCs w:val="24"/>
          <w:lang w:eastAsia="fr-FR"/>
        </w:rPr>
        <w:t>Ces trois documents sont propres à chaque CTA</w:t>
      </w:r>
    </w:p>
    <w:p>
      <w:pPr>
        <w:spacing w:after="0"/>
        <w:ind w:left="0" w:firstLine="0"/>
        <w:jc w:val="left"/>
        <w:rPr>
          <w:rFonts w:eastAsia="Times New Roman" w:cs="Calibri"/>
          <w:sz w:val="24"/>
          <w:szCs w:val="24"/>
          <w:lang w:eastAsia="fr-FR"/>
        </w:rPr>
      </w:pPr>
    </w:p>
    <w:p>
      <w:bookmarkStart w:id="0" w:name="_GoBack"/>
      <w:bookmarkEnd w:id="0"/>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id="1">
    <w:p>
      <w:pPr>
        <w:pStyle w:val="Notedebasdepage"/>
        <w:jc w:val="both"/>
        <w:rPr>
          <w:rFonts w:ascii="Calibri" w:hAnsi="Calibri" w:cs="Calibri"/>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hébergeant le CTA, à savoir les Provinces et Communes pour les établissements du réseau officiel subventionné, la Communauté française pour les établissements qu’elle organise et les ASBL concernées pour les établissements du réseau libre subventionné.</w:t>
      </w:r>
    </w:p>
  </w:footnote>
  <w:footnote w:id="2">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l’opérateur-utilisateur.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E3F68"/>
    <w:multiLevelType w:val="hybridMultilevel"/>
    <w:tmpl w:val="8E5623D8"/>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3DD30EE"/>
    <w:multiLevelType w:val="multilevel"/>
    <w:tmpl w:val="D13A1A08"/>
    <w:lvl w:ilvl="0">
      <w:numFmt w:val="bullet"/>
      <w:lvlText w:val="-"/>
      <w:lvlJc w:val="left"/>
      <w:pPr>
        <w:ind w:left="540" w:hanging="540"/>
      </w:pPr>
      <w:rPr>
        <w:rFonts w:ascii="Times New Roman" w:eastAsia="Times New Roman" w:hAnsi="Times New Roman" w:cs="Times New Roman" w:hint="default"/>
      </w:rPr>
    </w:lvl>
    <w:lvl w:ilvl="1">
      <w:start w:val="1"/>
      <w:numFmt w:val="decimal"/>
      <w:lvlText w:val="%1.%2."/>
      <w:lvlJc w:val="left"/>
      <w:pPr>
        <w:ind w:left="1780" w:hanging="720"/>
      </w:pPr>
      <w:rPr>
        <w:rFonts w:hint="default"/>
      </w:rPr>
    </w:lvl>
    <w:lvl w:ilvl="2">
      <w:start w:val="2"/>
      <w:numFmt w:val="decimal"/>
      <w:lvlText w:val="%1.%2.%3."/>
      <w:lvlJc w:val="left"/>
      <w:pPr>
        <w:ind w:left="2840" w:hanging="720"/>
      </w:pPr>
      <w:rPr>
        <w:rFonts w:hint="default"/>
      </w:rPr>
    </w:lvl>
    <w:lvl w:ilvl="3">
      <w:start w:val="1"/>
      <w:numFmt w:val="decimal"/>
      <w:lvlText w:val="%1.%2.%3.%4."/>
      <w:lvlJc w:val="left"/>
      <w:pPr>
        <w:ind w:left="4260" w:hanging="1080"/>
      </w:pPr>
      <w:rPr>
        <w:rFonts w:hint="default"/>
      </w:rPr>
    </w:lvl>
    <w:lvl w:ilvl="4">
      <w:start w:val="1"/>
      <w:numFmt w:val="decimal"/>
      <w:lvlText w:val="%1.%2.%3.%4.%5."/>
      <w:lvlJc w:val="left"/>
      <w:pPr>
        <w:ind w:left="5320" w:hanging="1080"/>
      </w:pPr>
      <w:rPr>
        <w:rFonts w:hint="default"/>
      </w:rPr>
    </w:lvl>
    <w:lvl w:ilvl="5">
      <w:start w:val="1"/>
      <w:numFmt w:val="decimal"/>
      <w:lvlText w:val="%1.%2.%3.%4.%5.%6."/>
      <w:lvlJc w:val="left"/>
      <w:pPr>
        <w:ind w:left="6740" w:hanging="1440"/>
      </w:pPr>
      <w:rPr>
        <w:rFonts w:hint="default"/>
      </w:rPr>
    </w:lvl>
    <w:lvl w:ilvl="6">
      <w:start w:val="1"/>
      <w:numFmt w:val="decimal"/>
      <w:lvlText w:val="%1.%2.%3.%4.%5.%6.%7."/>
      <w:lvlJc w:val="left"/>
      <w:pPr>
        <w:ind w:left="7800" w:hanging="1440"/>
      </w:pPr>
      <w:rPr>
        <w:rFonts w:hint="default"/>
      </w:rPr>
    </w:lvl>
    <w:lvl w:ilvl="7">
      <w:start w:val="1"/>
      <w:numFmt w:val="decimal"/>
      <w:lvlText w:val="%1.%2.%3.%4.%5.%6.%7.%8."/>
      <w:lvlJc w:val="left"/>
      <w:pPr>
        <w:ind w:left="9220" w:hanging="1800"/>
      </w:pPr>
      <w:rPr>
        <w:rFonts w:hint="default"/>
      </w:rPr>
    </w:lvl>
    <w:lvl w:ilvl="8">
      <w:start w:val="1"/>
      <w:numFmt w:val="decimal"/>
      <w:lvlText w:val="%1.%2.%3.%4.%5.%6.%7.%8.%9."/>
      <w:lvlJc w:val="left"/>
      <w:pPr>
        <w:ind w:left="10280" w:hanging="1800"/>
      </w:pPr>
      <w:rPr>
        <w:rFonts w:hint="default"/>
      </w:rPr>
    </w:lvl>
  </w:abstractNum>
  <w:abstractNum w:abstractNumId="2" w15:restartNumberingAfterBreak="0">
    <w:nsid w:val="1F5A7143"/>
    <w:multiLevelType w:val="hybridMultilevel"/>
    <w:tmpl w:val="D54ED304"/>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32411BD7"/>
    <w:multiLevelType w:val="hybridMultilevel"/>
    <w:tmpl w:val="5E8C8596"/>
    <w:lvl w:ilvl="0" w:tplc="71BCDB24">
      <w:start w:val="1"/>
      <w:numFmt w:val="bullet"/>
      <w:lvlText w:val="-"/>
      <w:lvlJc w:val="left"/>
      <w:pPr>
        <w:ind w:left="720" w:hanging="360"/>
      </w:pPr>
      <w:rPr>
        <w:rFonts w:ascii="Verdana" w:hAnsi="Verdana"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3C4909C1"/>
    <w:multiLevelType w:val="hybridMultilevel"/>
    <w:tmpl w:val="E4CE5E5A"/>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5A246F79"/>
    <w:multiLevelType w:val="hybridMultilevel"/>
    <w:tmpl w:val="6988006E"/>
    <w:lvl w:ilvl="0" w:tplc="337EF7DC">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69DFB5-B33F-4341-A363-FD7D1177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pPr>
      <w:spacing w:after="0"/>
      <w:ind w:left="0" w:firstLine="0"/>
      <w:jc w:val="left"/>
    </w:pPr>
    <w:rPr>
      <w:rFonts w:ascii="Times New Roman" w:eastAsia="Times New Roman" w:hAnsi="Times New Roman"/>
      <w:sz w:val="20"/>
      <w:szCs w:val="20"/>
      <w:lang w:val="fr-FR" w:eastAsia="fr-FR"/>
    </w:rPr>
  </w:style>
  <w:style w:type="character" w:customStyle="1" w:styleId="NotedebasdepageCar">
    <w:name w:val="Note de bas de page Car"/>
    <w:basedOn w:val="Policepardfaut"/>
    <w:link w:val="Notedebasdepage"/>
    <w:rPr>
      <w:rFonts w:ascii="Times New Roman" w:eastAsia="Times New Roman" w:hAnsi="Times New Roman"/>
      <w:lang w:val="fr-FR" w:eastAsia="fr-FR"/>
    </w:rPr>
  </w:style>
  <w:style w:type="character" w:styleId="Appelnotedebasdep">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1790</Words>
  <Characters>9845</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2020-09-09T06:23:00Z</dcterms:created>
  <dcterms:modified xsi:type="dcterms:W3CDTF">2020-09-09T06:23:00Z</dcterms:modified>
</cp:coreProperties>
</file>